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E5" w:rsidRPr="00F742DA" w:rsidRDefault="003359E5" w:rsidP="003359E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193"/>
      </w:tblGrid>
      <w:tr w:rsidR="003359E5" w:rsidRPr="00993A75" w:rsidTr="0089183D">
        <w:trPr>
          <w:trHeight w:val="719"/>
        </w:trPr>
        <w:tc>
          <w:tcPr>
            <w:tcW w:w="9243" w:type="dxa"/>
            <w:gridSpan w:val="2"/>
            <w:tcBorders>
              <w:bottom w:val="single" w:sz="4" w:space="0" w:color="365F91"/>
            </w:tcBorders>
            <w:shd w:val="clear" w:color="auto" w:fill="B8CCE4"/>
            <w:vAlign w:val="center"/>
          </w:tcPr>
          <w:p w:rsidR="003359E5" w:rsidRPr="00993A75" w:rsidRDefault="003359E5" w:rsidP="0089183D">
            <w:pPr>
              <w:spacing w:after="0" w:line="240" w:lineRule="auto"/>
              <w:jc w:val="center"/>
              <w:rPr>
                <w:rFonts w:ascii="Times New Roman" w:hAnsi="Times New Roman"/>
                <w:b/>
                <w:bCs/>
                <w:sz w:val="20"/>
                <w:szCs w:val="20"/>
              </w:rPr>
            </w:pPr>
            <w:r w:rsidRPr="00993A75">
              <w:rPr>
                <w:rFonts w:ascii="Times New Roman" w:hAnsi="Times New Roman"/>
                <w:b/>
                <w:bCs/>
                <w:sz w:val="20"/>
                <w:szCs w:val="20"/>
              </w:rPr>
              <w:t>IZVJEŠĆE O SAVJETOVANJU S JAVNOŠĆU</w:t>
            </w:r>
          </w:p>
          <w:p w:rsidR="003359E5" w:rsidRPr="00993A75" w:rsidRDefault="003359E5" w:rsidP="0089183D">
            <w:pPr>
              <w:spacing w:after="0" w:line="240" w:lineRule="auto"/>
              <w:jc w:val="center"/>
              <w:rPr>
                <w:rFonts w:ascii="Times New Roman" w:hAnsi="Times New Roman"/>
                <w:b/>
                <w:bCs/>
                <w:sz w:val="20"/>
                <w:szCs w:val="20"/>
              </w:rPr>
            </w:pPr>
            <w:r w:rsidRPr="00993A75">
              <w:rPr>
                <w:rFonts w:ascii="Times New Roman" w:hAnsi="Times New Roman"/>
                <w:b/>
                <w:bCs/>
                <w:sz w:val="20"/>
                <w:szCs w:val="20"/>
              </w:rPr>
              <w:t xml:space="preserve">U POSTUPKU DONOŠENJA PROVEDBENOG PLANA UNAPREĐENJA ZAŠTITE OD POŽARA ZA PODRUČJE </w:t>
            </w:r>
          </w:p>
          <w:p w:rsidR="003359E5" w:rsidRPr="00993A75" w:rsidRDefault="003359E5" w:rsidP="0089183D">
            <w:pPr>
              <w:spacing w:after="0" w:line="240" w:lineRule="auto"/>
              <w:jc w:val="center"/>
              <w:rPr>
                <w:rFonts w:ascii="Times New Roman" w:hAnsi="Times New Roman"/>
                <w:b/>
                <w:bCs/>
                <w:sz w:val="20"/>
                <w:szCs w:val="20"/>
              </w:rPr>
            </w:pPr>
            <w:r>
              <w:rPr>
                <w:rFonts w:ascii="Times New Roman" w:hAnsi="Times New Roman"/>
                <w:b/>
                <w:bCs/>
                <w:sz w:val="20"/>
                <w:szCs w:val="20"/>
              </w:rPr>
              <w:t>LIČKO-SENJSKE ŽUPANIJE ZA 2019</w:t>
            </w:r>
            <w:r w:rsidRPr="00993A75">
              <w:rPr>
                <w:rFonts w:ascii="Times New Roman" w:hAnsi="Times New Roman"/>
                <w:b/>
                <w:bCs/>
                <w:sz w:val="20"/>
                <w:szCs w:val="20"/>
              </w:rPr>
              <w:t>. GODINU</w:t>
            </w:r>
          </w:p>
          <w:p w:rsidR="003359E5" w:rsidRPr="00993A75" w:rsidRDefault="003359E5" w:rsidP="0089183D">
            <w:pPr>
              <w:spacing w:after="0" w:line="240" w:lineRule="auto"/>
              <w:jc w:val="center"/>
              <w:rPr>
                <w:rFonts w:ascii="Times New Roman" w:hAnsi="Times New Roman"/>
                <w:b/>
                <w:bCs/>
                <w:sz w:val="20"/>
                <w:szCs w:val="20"/>
              </w:rPr>
            </w:pPr>
          </w:p>
          <w:p w:rsidR="003359E5" w:rsidRPr="00993A75" w:rsidRDefault="003359E5" w:rsidP="0089183D">
            <w:pPr>
              <w:spacing w:after="0" w:line="240" w:lineRule="auto"/>
              <w:jc w:val="center"/>
              <w:rPr>
                <w:rFonts w:ascii="Times New Roman" w:hAnsi="Times New Roman"/>
                <w:b/>
                <w:bCs/>
                <w:sz w:val="20"/>
                <w:szCs w:val="20"/>
              </w:rPr>
            </w:pPr>
            <w:r w:rsidRPr="00993A75">
              <w:rPr>
                <w:rFonts w:ascii="Times New Roman" w:hAnsi="Times New Roman"/>
                <w:b/>
                <w:bCs/>
                <w:sz w:val="20"/>
                <w:szCs w:val="20"/>
              </w:rPr>
              <w:t>Nositelj izrade izvješća: Ličko – senjska županija, Kabinet župana</w:t>
            </w:r>
          </w:p>
          <w:p w:rsidR="003359E5" w:rsidRPr="00993A75" w:rsidRDefault="003359E5" w:rsidP="0089183D">
            <w:pPr>
              <w:spacing w:after="0" w:line="240" w:lineRule="auto"/>
              <w:jc w:val="center"/>
              <w:rPr>
                <w:rFonts w:ascii="Times New Roman" w:hAnsi="Times New Roman"/>
                <w:b/>
                <w:bCs/>
                <w:sz w:val="20"/>
                <w:szCs w:val="20"/>
              </w:rPr>
            </w:pPr>
          </w:p>
        </w:tc>
      </w:tr>
      <w:tr w:rsidR="003359E5" w:rsidRPr="00993A75" w:rsidTr="0089183D">
        <w:trPr>
          <w:trHeight w:val="1074"/>
        </w:trPr>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 xml:space="preserve">Naziv akta za koji je provedeno savjetovanje s javnošću </w:t>
            </w:r>
          </w:p>
        </w:tc>
        <w:tc>
          <w:tcPr>
            <w:tcW w:w="5301"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0" w:line="240" w:lineRule="auto"/>
              <w:jc w:val="center"/>
              <w:rPr>
                <w:rFonts w:ascii="Times New Roman" w:hAnsi="Times New Roman"/>
                <w:b/>
                <w:bCs/>
              </w:rPr>
            </w:pPr>
          </w:p>
          <w:p w:rsidR="003359E5" w:rsidRPr="00993A75" w:rsidRDefault="003359E5" w:rsidP="0089183D">
            <w:pPr>
              <w:spacing w:after="0" w:line="240" w:lineRule="auto"/>
              <w:jc w:val="both"/>
              <w:rPr>
                <w:rFonts w:ascii="Times New Roman" w:hAnsi="Times New Roman"/>
                <w:b/>
                <w:bCs/>
              </w:rPr>
            </w:pPr>
          </w:p>
          <w:p w:rsidR="003359E5" w:rsidRPr="00993A75" w:rsidRDefault="003359E5" w:rsidP="0089183D">
            <w:pPr>
              <w:spacing w:after="0" w:line="240" w:lineRule="auto"/>
              <w:jc w:val="both"/>
              <w:rPr>
                <w:rFonts w:ascii="Times New Roman" w:hAnsi="Times New Roman"/>
                <w:b/>
                <w:bCs/>
              </w:rPr>
            </w:pPr>
            <w:r w:rsidRPr="00993A75">
              <w:rPr>
                <w:rFonts w:ascii="Times New Roman" w:hAnsi="Times New Roman"/>
                <w:b/>
                <w:bCs/>
              </w:rPr>
              <w:t>PROVEDBENI PLAN UNAPREĐENJA ZAŠTITE OD POŽARA ZA PODRUČJ</w:t>
            </w:r>
            <w:r>
              <w:rPr>
                <w:rFonts w:ascii="Times New Roman" w:hAnsi="Times New Roman"/>
                <w:b/>
                <w:bCs/>
              </w:rPr>
              <w:t>E LIČKO-SENJSKE ŽUPANIJE ZA 2019</w:t>
            </w:r>
            <w:r w:rsidRPr="00993A75">
              <w:rPr>
                <w:rFonts w:ascii="Times New Roman" w:hAnsi="Times New Roman"/>
                <w:b/>
                <w:bCs/>
              </w:rPr>
              <w:t>. GODINU</w:t>
            </w:r>
          </w:p>
          <w:p w:rsidR="003359E5" w:rsidRPr="00993A75" w:rsidRDefault="003359E5" w:rsidP="0089183D">
            <w:pPr>
              <w:spacing w:after="120" w:line="240" w:lineRule="auto"/>
              <w:jc w:val="both"/>
              <w:rPr>
                <w:rFonts w:ascii="Times New Roman" w:hAnsi="Times New Roman"/>
                <w:bCs/>
              </w:rPr>
            </w:pPr>
          </w:p>
        </w:tc>
      </w:tr>
      <w:tr w:rsidR="003359E5" w:rsidRPr="00993A75" w:rsidTr="0089183D">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 xml:space="preserve">Naziv tijela nadležnog za izradu nacrta / provedbu savjetovanja </w:t>
            </w:r>
          </w:p>
        </w:tc>
        <w:tc>
          <w:tcPr>
            <w:tcW w:w="5301"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jc w:val="both"/>
              <w:rPr>
                <w:rFonts w:ascii="Times New Roman" w:hAnsi="Times New Roman"/>
                <w:bCs/>
              </w:rPr>
            </w:pPr>
            <w:r w:rsidRPr="00993A75">
              <w:rPr>
                <w:rFonts w:ascii="Times New Roman" w:hAnsi="Times New Roman"/>
                <w:bCs/>
              </w:rPr>
              <w:t xml:space="preserve"> Kabinet župana</w:t>
            </w:r>
          </w:p>
        </w:tc>
      </w:tr>
      <w:tr w:rsidR="003359E5" w:rsidRPr="00993A75" w:rsidTr="0089183D">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Razlozi za donošenje akta i ciljevi koji se njime žele postići uz sažetak ključnih pitanja</w:t>
            </w:r>
          </w:p>
          <w:p w:rsidR="003359E5" w:rsidRPr="00993A75" w:rsidRDefault="003359E5" w:rsidP="0089183D">
            <w:pPr>
              <w:spacing w:after="120" w:line="240" w:lineRule="auto"/>
              <w:rPr>
                <w:rFonts w:ascii="Times New Roman" w:hAnsi="Times New Roman"/>
                <w:b/>
                <w:bCs/>
              </w:rPr>
            </w:pPr>
          </w:p>
        </w:tc>
        <w:tc>
          <w:tcPr>
            <w:tcW w:w="5301" w:type="dxa"/>
            <w:tcBorders>
              <w:top w:val="single" w:sz="4" w:space="0" w:color="365F91"/>
              <w:left w:val="single" w:sz="4" w:space="0" w:color="auto"/>
              <w:bottom w:val="single" w:sz="4" w:space="0" w:color="365F91"/>
              <w:right w:val="single" w:sz="4" w:space="0" w:color="auto"/>
            </w:tcBorders>
            <w:shd w:val="clear" w:color="auto" w:fill="auto"/>
          </w:tcPr>
          <w:p w:rsidR="003359E5" w:rsidRPr="00993A75" w:rsidRDefault="003359E5" w:rsidP="0089183D">
            <w:pPr>
              <w:spacing w:after="0" w:line="240" w:lineRule="auto"/>
              <w:jc w:val="both"/>
              <w:rPr>
                <w:rFonts w:ascii="Times New Roman" w:hAnsi="Times New Roman"/>
                <w:bCs/>
              </w:rPr>
            </w:pPr>
            <w:proofErr w:type="spellStart"/>
            <w:r w:rsidRPr="00993A75">
              <w:rPr>
                <w:rFonts w:ascii="Times New Roman" w:hAnsi="Times New Roman"/>
              </w:rPr>
              <w:t>Članakom</w:t>
            </w:r>
            <w:proofErr w:type="spellEnd"/>
            <w:r w:rsidRPr="00993A75">
              <w:rPr>
                <w:rFonts w:ascii="Times New Roman" w:hAnsi="Times New Roman"/>
              </w:rPr>
              <w:t xml:space="preserve"> 13. stavkom 4. Zakona o zaštiti od požara (NN br. 92/10) propisano je da 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w:t>
            </w:r>
            <w:r w:rsidR="006756A4">
              <w:rPr>
                <w:rFonts w:ascii="Times New Roman" w:hAnsi="Times New Roman"/>
              </w:rPr>
              <w:t>i vatrogasne zajednice županije.</w:t>
            </w:r>
            <w:bookmarkStart w:id="0" w:name="_GoBack"/>
            <w:bookmarkEnd w:id="0"/>
          </w:p>
        </w:tc>
      </w:tr>
      <w:tr w:rsidR="003359E5" w:rsidRPr="00993A75" w:rsidTr="0089183D">
        <w:trPr>
          <w:trHeight w:val="661"/>
        </w:trPr>
        <w:tc>
          <w:tcPr>
            <w:tcW w:w="3942" w:type="dxa"/>
            <w:tcBorders>
              <w:top w:val="single" w:sz="4" w:space="0" w:color="365F91"/>
              <w:left w:val="single" w:sz="4" w:space="0" w:color="auto"/>
              <w:bottom w:val="single" w:sz="4" w:space="0" w:color="auto"/>
              <w:right w:val="single" w:sz="4" w:space="0" w:color="auto"/>
            </w:tcBorders>
            <w:shd w:val="clear" w:color="auto" w:fill="auto"/>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Objava dokumenata za savjetovanje</w:t>
            </w:r>
          </w:p>
        </w:tc>
        <w:tc>
          <w:tcPr>
            <w:tcW w:w="5301" w:type="dxa"/>
            <w:tcBorders>
              <w:top w:val="single" w:sz="4" w:space="0" w:color="365F91"/>
              <w:left w:val="single" w:sz="4" w:space="0" w:color="auto"/>
              <w:bottom w:val="single" w:sz="4" w:space="0" w:color="365F91"/>
              <w:right w:val="single" w:sz="4" w:space="0" w:color="auto"/>
            </w:tcBorders>
            <w:shd w:val="clear" w:color="auto" w:fill="auto"/>
          </w:tcPr>
          <w:p w:rsidR="003359E5" w:rsidRPr="00993A75" w:rsidRDefault="003359E5" w:rsidP="0089183D">
            <w:pPr>
              <w:spacing w:after="0" w:line="240" w:lineRule="auto"/>
              <w:jc w:val="both"/>
              <w:rPr>
                <w:rFonts w:ascii="Times New Roman" w:hAnsi="Times New Roman"/>
                <w:bCs/>
              </w:rPr>
            </w:pPr>
            <w:r w:rsidRPr="00993A75">
              <w:rPr>
                <w:rFonts w:ascii="Times New Roman" w:hAnsi="Times New Roman"/>
                <w:bCs/>
              </w:rPr>
              <w:t>www.licko-senjska.hr</w:t>
            </w:r>
          </w:p>
        </w:tc>
      </w:tr>
      <w:tr w:rsidR="003359E5" w:rsidRPr="00993A75" w:rsidTr="0089183D">
        <w:trPr>
          <w:trHeight w:val="1499"/>
        </w:trPr>
        <w:tc>
          <w:tcPr>
            <w:tcW w:w="3942" w:type="dxa"/>
            <w:tcBorders>
              <w:top w:val="single" w:sz="4" w:space="0" w:color="auto"/>
              <w:left w:val="single" w:sz="4" w:space="0" w:color="auto"/>
              <w:bottom w:val="single" w:sz="4" w:space="0" w:color="365F91"/>
              <w:right w:val="single" w:sz="4" w:space="0" w:color="auto"/>
            </w:tcBorders>
            <w:shd w:val="clear" w:color="auto" w:fill="auto"/>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Razdoblje provedbe savjetovanja</w:t>
            </w:r>
          </w:p>
        </w:tc>
        <w:tc>
          <w:tcPr>
            <w:tcW w:w="5301" w:type="dxa"/>
            <w:tcBorders>
              <w:top w:val="single" w:sz="4" w:space="0" w:color="365F91"/>
              <w:left w:val="single" w:sz="4" w:space="0" w:color="auto"/>
              <w:right w:val="single" w:sz="4" w:space="0" w:color="auto"/>
            </w:tcBorders>
            <w:shd w:val="clear" w:color="auto" w:fill="auto"/>
          </w:tcPr>
          <w:p w:rsidR="003359E5" w:rsidRPr="00993A75" w:rsidRDefault="003359E5" w:rsidP="0089183D">
            <w:pPr>
              <w:spacing w:after="120" w:line="240" w:lineRule="auto"/>
              <w:rPr>
                <w:rFonts w:ascii="Times New Roman" w:hAnsi="Times New Roman"/>
                <w:bCs/>
              </w:rPr>
            </w:pPr>
            <w:r w:rsidRPr="00993A75">
              <w:rPr>
                <w:rFonts w:ascii="Times New Roman" w:hAnsi="Times New Roman"/>
                <w:bCs/>
              </w:rPr>
              <w:t xml:space="preserve">Internetsko savjetovanje sa zainteresiranom javnošću provedeno je u razdoblju od </w:t>
            </w:r>
            <w:r>
              <w:rPr>
                <w:rFonts w:ascii="Times New Roman" w:hAnsi="Times New Roman"/>
                <w:bCs/>
              </w:rPr>
              <w:t>14. prosinca do 31. prosinca 2018</w:t>
            </w:r>
            <w:r w:rsidRPr="00993A75">
              <w:rPr>
                <w:rFonts w:ascii="Times New Roman" w:hAnsi="Times New Roman"/>
                <w:bCs/>
              </w:rPr>
              <w:t>.</w:t>
            </w:r>
          </w:p>
        </w:tc>
      </w:tr>
      <w:tr w:rsidR="003359E5" w:rsidRPr="00993A75" w:rsidTr="0089183D">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 xml:space="preserve">Pregled osnovnih pokazatelja  uključenosti savjetovanja s javnošću </w:t>
            </w:r>
          </w:p>
        </w:tc>
        <w:tc>
          <w:tcPr>
            <w:tcW w:w="5301"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Cs/>
              </w:rPr>
            </w:pPr>
            <w:r w:rsidRPr="00993A75">
              <w:rPr>
                <w:rFonts w:ascii="Times New Roman" w:hAnsi="Times New Roman"/>
                <w:bCs/>
              </w:rPr>
              <w:t>Na predloženi Nacrt dokumenta nije bilo  zaprimljenih primjedbi i prijedloga.</w:t>
            </w:r>
          </w:p>
        </w:tc>
      </w:tr>
      <w:tr w:rsidR="003359E5" w:rsidRPr="00993A75" w:rsidTr="0089183D">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 xml:space="preserve">Pregled prihvaćenih i neprihvaćenih mišljenja i prijedloga s obrazloženjem razloga za neprihvaćanje </w:t>
            </w:r>
          </w:p>
        </w:tc>
        <w:tc>
          <w:tcPr>
            <w:tcW w:w="5301"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Cs/>
              </w:rPr>
            </w:pPr>
          </w:p>
        </w:tc>
      </w:tr>
      <w:tr w:rsidR="003359E5" w:rsidRPr="00993A75" w:rsidTr="0089183D">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 xml:space="preserve">Ostali oblici savjetovanja s javnošću </w:t>
            </w:r>
          </w:p>
        </w:tc>
        <w:tc>
          <w:tcPr>
            <w:tcW w:w="5301"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Cs/>
              </w:rPr>
            </w:pPr>
          </w:p>
        </w:tc>
      </w:tr>
      <w:tr w:rsidR="003359E5" w:rsidRPr="00993A75" w:rsidTr="0089183D">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Troškovi provedenog savjetovanja</w:t>
            </w:r>
          </w:p>
        </w:tc>
        <w:tc>
          <w:tcPr>
            <w:tcW w:w="5301" w:type="dxa"/>
            <w:tcBorders>
              <w:top w:val="single" w:sz="4" w:space="0" w:color="365F91"/>
              <w:left w:val="single" w:sz="4" w:space="0" w:color="auto"/>
              <w:bottom w:val="single" w:sz="4" w:space="0" w:color="365F91"/>
              <w:right w:val="single" w:sz="4" w:space="0" w:color="auto"/>
            </w:tcBorders>
            <w:shd w:val="clear" w:color="auto" w:fill="auto"/>
          </w:tcPr>
          <w:p w:rsidR="003359E5" w:rsidRPr="00993A75" w:rsidRDefault="003359E5" w:rsidP="0089183D">
            <w:pPr>
              <w:spacing w:after="120" w:line="240" w:lineRule="auto"/>
              <w:jc w:val="both"/>
              <w:rPr>
                <w:rFonts w:ascii="Times New Roman" w:hAnsi="Times New Roman"/>
                <w:bCs/>
              </w:rPr>
            </w:pPr>
            <w:r w:rsidRPr="00993A75">
              <w:rPr>
                <w:rFonts w:ascii="Times New Roman" w:hAnsi="Times New Roman"/>
                <w:bCs/>
              </w:rPr>
              <w:t xml:space="preserve">Provedba javnog savjetovanja nije iziskivala dodatne financijske troškove. </w:t>
            </w:r>
          </w:p>
        </w:tc>
      </w:tr>
      <w:tr w:rsidR="003359E5" w:rsidRPr="00993A75" w:rsidTr="0089183D">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Ime i prezime osobe koja je izradila izvješće</w:t>
            </w:r>
          </w:p>
        </w:tc>
        <w:tc>
          <w:tcPr>
            <w:tcW w:w="5301" w:type="dxa"/>
            <w:tcBorders>
              <w:top w:val="single" w:sz="4" w:space="0" w:color="365F91"/>
              <w:left w:val="single" w:sz="4" w:space="0" w:color="auto"/>
              <w:bottom w:val="single" w:sz="4" w:space="0" w:color="365F91"/>
              <w:right w:val="single" w:sz="4" w:space="0" w:color="auto"/>
            </w:tcBorders>
            <w:shd w:val="clear" w:color="auto" w:fill="auto"/>
          </w:tcPr>
          <w:p w:rsidR="003359E5" w:rsidRPr="00993A75" w:rsidRDefault="003359E5" w:rsidP="0089183D">
            <w:pPr>
              <w:spacing w:after="120" w:line="240" w:lineRule="auto"/>
              <w:jc w:val="both"/>
              <w:rPr>
                <w:rFonts w:ascii="Times New Roman" w:hAnsi="Times New Roman"/>
                <w:bCs/>
              </w:rPr>
            </w:pPr>
            <w:r w:rsidRPr="00993A75">
              <w:rPr>
                <w:rFonts w:ascii="Times New Roman" w:hAnsi="Times New Roman"/>
                <w:bCs/>
              </w:rPr>
              <w:t xml:space="preserve">Sanja </w:t>
            </w:r>
            <w:proofErr w:type="spellStart"/>
            <w:r w:rsidRPr="00993A75">
              <w:rPr>
                <w:rFonts w:ascii="Times New Roman" w:hAnsi="Times New Roman"/>
                <w:bCs/>
              </w:rPr>
              <w:t>Vladetić</w:t>
            </w:r>
            <w:proofErr w:type="spellEnd"/>
            <w:r w:rsidRPr="00993A75">
              <w:rPr>
                <w:rFonts w:ascii="Times New Roman" w:hAnsi="Times New Roman"/>
                <w:bCs/>
              </w:rPr>
              <w:t>, pročelnica Kabineta župana</w:t>
            </w:r>
          </w:p>
        </w:tc>
      </w:tr>
      <w:tr w:rsidR="003359E5" w:rsidRPr="00993A75" w:rsidTr="0089183D">
        <w:tc>
          <w:tcPr>
            <w:tcW w:w="3942" w:type="dxa"/>
            <w:tcBorders>
              <w:top w:val="single" w:sz="4" w:space="0" w:color="365F91"/>
              <w:left w:val="single" w:sz="4" w:space="0" w:color="auto"/>
              <w:bottom w:val="single" w:sz="4" w:space="0" w:color="365F91"/>
              <w:right w:val="single" w:sz="4" w:space="0" w:color="auto"/>
            </w:tcBorders>
            <w:shd w:val="clear" w:color="auto" w:fill="auto"/>
            <w:vAlign w:val="center"/>
          </w:tcPr>
          <w:p w:rsidR="003359E5" w:rsidRPr="00993A75" w:rsidRDefault="003359E5" w:rsidP="0089183D">
            <w:pPr>
              <w:spacing w:after="120" w:line="240" w:lineRule="auto"/>
              <w:rPr>
                <w:rFonts w:ascii="Times New Roman" w:hAnsi="Times New Roman"/>
                <w:b/>
                <w:bCs/>
              </w:rPr>
            </w:pPr>
            <w:r w:rsidRPr="00993A75">
              <w:rPr>
                <w:rFonts w:ascii="Times New Roman" w:hAnsi="Times New Roman"/>
                <w:b/>
                <w:bCs/>
              </w:rPr>
              <w:t>Mjesto i datum izrade izvješća</w:t>
            </w:r>
          </w:p>
          <w:p w:rsidR="003359E5" w:rsidRPr="00993A75" w:rsidRDefault="003359E5" w:rsidP="0089183D">
            <w:pPr>
              <w:spacing w:after="120" w:line="240" w:lineRule="auto"/>
              <w:rPr>
                <w:rFonts w:ascii="Times New Roman" w:hAnsi="Times New Roman"/>
                <w:b/>
                <w:bCs/>
              </w:rPr>
            </w:pPr>
          </w:p>
        </w:tc>
        <w:tc>
          <w:tcPr>
            <w:tcW w:w="5301" w:type="dxa"/>
            <w:tcBorders>
              <w:top w:val="single" w:sz="4" w:space="0" w:color="365F91"/>
              <w:left w:val="single" w:sz="4" w:space="0" w:color="auto"/>
              <w:bottom w:val="single" w:sz="4" w:space="0" w:color="365F91"/>
              <w:right w:val="single" w:sz="4" w:space="0" w:color="auto"/>
            </w:tcBorders>
            <w:shd w:val="clear" w:color="auto" w:fill="auto"/>
          </w:tcPr>
          <w:p w:rsidR="003359E5" w:rsidRPr="00993A75" w:rsidRDefault="003359E5" w:rsidP="0089183D">
            <w:pPr>
              <w:spacing w:after="120" w:line="240" w:lineRule="auto"/>
              <w:jc w:val="both"/>
              <w:rPr>
                <w:rFonts w:ascii="Times New Roman" w:hAnsi="Times New Roman"/>
                <w:bCs/>
              </w:rPr>
            </w:pPr>
            <w:r>
              <w:rPr>
                <w:rFonts w:ascii="Times New Roman" w:hAnsi="Times New Roman"/>
                <w:bCs/>
              </w:rPr>
              <w:t>Gospić, 16. siječnja 2019</w:t>
            </w:r>
            <w:r w:rsidRPr="00993A75">
              <w:rPr>
                <w:rFonts w:ascii="Times New Roman" w:hAnsi="Times New Roman"/>
                <w:bCs/>
              </w:rPr>
              <w:t>.</w:t>
            </w:r>
          </w:p>
        </w:tc>
      </w:tr>
    </w:tbl>
    <w:p w:rsidR="003359E5" w:rsidRDefault="003359E5" w:rsidP="003359E5">
      <w:pPr>
        <w:rPr>
          <w:rFonts w:eastAsia="Calibri"/>
          <w:b/>
          <w:bCs/>
          <w:sz w:val="20"/>
          <w:szCs w:val="20"/>
          <w:lang w:eastAsia="en-US"/>
        </w:rPr>
      </w:pPr>
      <w:bookmarkStart w:id="1" w:name="_Toc468978618"/>
      <w:bookmarkEnd w:id="1"/>
    </w:p>
    <w:p w:rsidR="00941C34" w:rsidRDefault="001A3DE0"/>
    <w:sectPr w:rsidR="00941C34" w:rsidSect="00861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5"/>
    <w:rsid w:val="001A3DE0"/>
    <w:rsid w:val="003359E5"/>
    <w:rsid w:val="0035131A"/>
    <w:rsid w:val="00446B83"/>
    <w:rsid w:val="004E37F1"/>
    <w:rsid w:val="006756A4"/>
    <w:rsid w:val="006823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2E016-19EB-4DA4-965D-F14613C5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5"/>
    <w:pPr>
      <w:spacing w:after="200" w:line="276" w:lineRule="auto"/>
    </w:pPr>
    <w:rPr>
      <w:rFonts w:ascii="Calibri" w:eastAsia="Times New Roman"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2019-01-16T08:42:00Z</dcterms:created>
  <dcterms:modified xsi:type="dcterms:W3CDTF">2019-01-16T08:42:00Z</dcterms:modified>
</cp:coreProperties>
</file>