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6" w:rsidRDefault="001646F6" w:rsidP="001646F6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1646F6" w:rsidTr="00A65DE4">
        <w:tc>
          <w:tcPr>
            <w:tcW w:w="748" w:type="dxa"/>
            <w:vAlign w:val="center"/>
          </w:tcPr>
          <w:p w:rsidR="001646F6" w:rsidRDefault="001646F6" w:rsidP="00A65DE4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646F6" w:rsidRPr="008A1890" w:rsidRDefault="001646F6" w:rsidP="00A65DE4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1646F6" w:rsidRDefault="001646F6" w:rsidP="00A65DE4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01/</w:t>
      </w:r>
      <w:r w:rsidR="008C47D5">
        <w:rPr>
          <w:rFonts w:asciiTheme="majorHAnsi" w:hAnsiTheme="majorHAnsi"/>
          <w:sz w:val="21"/>
          <w:szCs w:val="21"/>
        </w:rPr>
        <w:t>15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</w:t>
      </w:r>
      <w:r w:rsidR="00C1038A">
        <w:rPr>
          <w:rFonts w:asciiTheme="majorHAnsi" w:hAnsiTheme="majorHAnsi"/>
          <w:sz w:val="21"/>
          <w:szCs w:val="21"/>
        </w:rPr>
        <w:t>20-</w:t>
      </w:r>
      <w:r>
        <w:rPr>
          <w:rFonts w:asciiTheme="majorHAnsi" w:hAnsiTheme="majorHAnsi"/>
          <w:sz w:val="21"/>
          <w:szCs w:val="21"/>
        </w:rPr>
        <w:t>01</w:t>
      </w:r>
    </w:p>
    <w:p w:rsidR="001D5110" w:rsidRDefault="001D5110" w:rsidP="0092140B">
      <w:pPr>
        <w:tabs>
          <w:tab w:val="left" w:pos="0"/>
        </w:tabs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7175F5">
        <w:rPr>
          <w:rFonts w:asciiTheme="majorHAnsi" w:hAnsiTheme="majorHAnsi"/>
          <w:sz w:val="21"/>
          <w:szCs w:val="21"/>
        </w:rPr>
        <w:t>15</w:t>
      </w:r>
      <w:r w:rsidR="001676DA">
        <w:rPr>
          <w:rFonts w:asciiTheme="majorHAnsi" w:hAnsiTheme="majorHAnsi"/>
          <w:sz w:val="21"/>
          <w:szCs w:val="21"/>
        </w:rPr>
        <w:t>.</w:t>
      </w:r>
      <w:r w:rsidR="00C1038A">
        <w:rPr>
          <w:rFonts w:asciiTheme="majorHAnsi" w:hAnsiTheme="majorHAnsi"/>
          <w:sz w:val="21"/>
          <w:szCs w:val="21"/>
        </w:rPr>
        <w:t xml:space="preserve"> </w:t>
      </w:r>
      <w:r w:rsidR="004B093C">
        <w:rPr>
          <w:rFonts w:asciiTheme="majorHAnsi" w:hAnsiTheme="majorHAnsi"/>
          <w:sz w:val="21"/>
          <w:szCs w:val="21"/>
        </w:rPr>
        <w:t>svibnja</w:t>
      </w:r>
      <w:r>
        <w:rPr>
          <w:rFonts w:asciiTheme="majorHAnsi" w:hAnsiTheme="majorHAnsi"/>
          <w:sz w:val="21"/>
          <w:szCs w:val="21"/>
        </w:rPr>
        <w:t xml:space="preserve"> 20</w:t>
      </w:r>
      <w:r w:rsidR="00C1038A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C1038A" w:rsidRDefault="001D5110" w:rsidP="0092140B">
      <w:pPr>
        <w:spacing w:after="0" w:line="28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C1038A" w:rsidRPr="005C64BF">
        <w:rPr>
          <w:rFonts w:asciiTheme="majorHAnsi" w:hAnsiTheme="majorHAnsi"/>
          <w:sz w:val="23"/>
          <w:szCs w:val="23"/>
        </w:rPr>
        <w:t xml:space="preserve">Na temelju članka 30. i 31. Poslovnika županijske skupštine Ličko-senjske županije («Županijski glasnik» br. 11/09, 4/12, 4/13, </w:t>
      </w:r>
      <w:r w:rsidR="002D7FA6">
        <w:rPr>
          <w:rFonts w:asciiTheme="majorHAnsi" w:hAnsiTheme="majorHAnsi"/>
          <w:sz w:val="23"/>
          <w:szCs w:val="23"/>
        </w:rPr>
        <w:t xml:space="preserve">6/13 - pročišćeni tekst, 14/13, </w:t>
      </w:r>
      <w:r w:rsidR="00C1038A" w:rsidRPr="005C64BF">
        <w:rPr>
          <w:rFonts w:asciiTheme="majorHAnsi" w:hAnsiTheme="majorHAnsi"/>
          <w:sz w:val="23"/>
          <w:szCs w:val="23"/>
        </w:rPr>
        <w:t>2/18</w:t>
      </w:r>
      <w:r w:rsidR="002D7FA6">
        <w:rPr>
          <w:rFonts w:asciiTheme="majorHAnsi" w:hAnsiTheme="majorHAnsi"/>
          <w:sz w:val="23"/>
          <w:szCs w:val="23"/>
        </w:rPr>
        <w:t xml:space="preserve"> i 10/20</w:t>
      </w:r>
      <w:r w:rsidR="00C1038A" w:rsidRPr="005C64BF">
        <w:rPr>
          <w:rFonts w:asciiTheme="majorHAnsi" w:hAnsiTheme="majorHAnsi"/>
          <w:sz w:val="23"/>
          <w:szCs w:val="23"/>
        </w:rPr>
        <w:t>)</w:t>
      </w:r>
      <w:r w:rsidR="00C1038A">
        <w:rPr>
          <w:rFonts w:asciiTheme="majorHAnsi" w:hAnsiTheme="majorHAnsi"/>
          <w:sz w:val="23"/>
          <w:szCs w:val="23"/>
        </w:rPr>
        <w:t>,</w:t>
      </w:r>
      <w:r w:rsidR="00C1038A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C1038A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="00C1038A" w:rsidRPr="005C64BF">
        <w:rPr>
          <w:rFonts w:asciiTheme="majorHAnsi" w:hAnsiTheme="majorHAnsi"/>
          <w:sz w:val="23"/>
          <w:szCs w:val="23"/>
        </w:rPr>
        <w:t xml:space="preserve">sazivam </w:t>
      </w:r>
      <w:r w:rsidR="00A777C7">
        <w:rPr>
          <w:rFonts w:asciiTheme="majorHAnsi" w:hAnsiTheme="majorHAnsi"/>
          <w:b/>
          <w:sz w:val="23"/>
          <w:szCs w:val="23"/>
        </w:rPr>
        <w:t>10</w:t>
      </w:r>
      <w:r w:rsidR="00C1038A">
        <w:rPr>
          <w:rFonts w:asciiTheme="majorHAnsi" w:hAnsiTheme="majorHAnsi"/>
          <w:b/>
          <w:sz w:val="23"/>
          <w:szCs w:val="23"/>
        </w:rPr>
        <w:t xml:space="preserve">. </w:t>
      </w:r>
      <w:r w:rsidR="00C1038A" w:rsidRPr="005C64BF">
        <w:rPr>
          <w:rFonts w:asciiTheme="majorHAnsi" w:hAnsiTheme="majorHAnsi"/>
          <w:b/>
          <w:sz w:val="23"/>
          <w:szCs w:val="23"/>
        </w:rPr>
        <w:t xml:space="preserve">sjednicu Odbora za </w:t>
      </w:r>
      <w:r w:rsidR="00C1038A">
        <w:rPr>
          <w:rFonts w:asciiTheme="majorHAnsi" w:hAnsiTheme="majorHAnsi"/>
          <w:b/>
        </w:rPr>
        <w:t>Proračun i financije</w:t>
      </w:r>
      <w:r w:rsidR="00C1038A" w:rsidRPr="005C64BF">
        <w:rPr>
          <w:rFonts w:asciiTheme="majorHAnsi" w:hAnsiTheme="majorHAnsi"/>
          <w:b/>
          <w:sz w:val="23"/>
          <w:szCs w:val="23"/>
        </w:rPr>
        <w:t xml:space="preserve">, </w:t>
      </w:r>
      <w:r w:rsidR="00C1038A" w:rsidRPr="00141D1A">
        <w:rPr>
          <w:rFonts w:asciiTheme="majorHAnsi" w:hAnsiTheme="majorHAnsi"/>
          <w:sz w:val="23"/>
          <w:szCs w:val="23"/>
        </w:rPr>
        <w:t>koja će se održati elektroničkim</w:t>
      </w:r>
      <w:r w:rsidR="00C1038A">
        <w:rPr>
          <w:rFonts w:asciiTheme="majorHAnsi" w:hAnsiTheme="majorHAnsi"/>
          <w:sz w:val="23"/>
          <w:szCs w:val="23"/>
        </w:rPr>
        <w:t xml:space="preserve"> putem </w:t>
      </w:r>
      <w:r w:rsidR="007175F5" w:rsidRPr="00B314A3">
        <w:rPr>
          <w:rFonts w:asciiTheme="majorHAnsi" w:hAnsiTheme="majorHAnsi"/>
          <w:b/>
          <w:sz w:val="23"/>
          <w:szCs w:val="23"/>
        </w:rPr>
        <w:t>25</w:t>
      </w:r>
      <w:r w:rsidR="00C1038A" w:rsidRPr="004C650B">
        <w:rPr>
          <w:rFonts w:asciiTheme="majorHAnsi" w:hAnsiTheme="majorHAnsi"/>
          <w:b/>
          <w:sz w:val="23"/>
          <w:szCs w:val="23"/>
        </w:rPr>
        <w:t xml:space="preserve">. </w:t>
      </w:r>
      <w:r w:rsidR="00A777C7">
        <w:rPr>
          <w:rFonts w:asciiTheme="majorHAnsi" w:hAnsiTheme="majorHAnsi"/>
          <w:b/>
          <w:sz w:val="23"/>
          <w:szCs w:val="23"/>
        </w:rPr>
        <w:t>svibnja</w:t>
      </w:r>
      <w:r w:rsidR="00C1038A">
        <w:rPr>
          <w:rFonts w:asciiTheme="majorHAnsi" w:hAnsiTheme="majorHAnsi"/>
          <w:sz w:val="23"/>
          <w:szCs w:val="23"/>
        </w:rPr>
        <w:t xml:space="preserve"> </w:t>
      </w:r>
      <w:r w:rsidR="00C1038A" w:rsidRPr="005C64BF">
        <w:rPr>
          <w:rFonts w:asciiTheme="majorHAnsi" w:hAnsiTheme="majorHAnsi"/>
          <w:b/>
          <w:sz w:val="23"/>
          <w:szCs w:val="23"/>
        </w:rPr>
        <w:t>20</w:t>
      </w:r>
      <w:r w:rsidR="00C1038A">
        <w:rPr>
          <w:rFonts w:asciiTheme="majorHAnsi" w:hAnsiTheme="majorHAnsi"/>
          <w:b/>
          <w:sz w:val="23"/>
          <w:szCs w:val="23"/>
        </w:rPr>
        <w:t>20</w:t>
      </w:r>
      <w:r w:rsidR="00C1038A" w:rsidRPr="005C64BF">
        <w:rPr>
          <w:rFonts w:asciiTheme="majorHAnsi" w:hAnsiTheme="majorHAnsi"/>
          <w:b/>
          <w:sz w:val="23"/>
          <w:szCs w:val="23"/>
        </w:rPr>
        <w:t>. godine (</w:t>
      </w:r>
      <w:r w:rsidR="007175F5">
        <w:rPr>
          <w:rFonts w:asciiTheme="majorHAnsi" w:hAnsiTheme="majorHAnsi"/>
          <w:b/>
          <w:sz w:val="23"/>
          <w:szCs w:val="23"/>
        </w:rPr>
        <w:t>PONEDJELJAK</w:t>
      </w:r>
      <w:r w:rsidR="00C1038A" w:rsidRPr="005C64BF">
        <w:rPr>
          <w:rFonts w:asciiTheme="majorHAnsi" w:hAnsiTheme="majorHAnsi"/>
          <w:b/>
          <w:sz w:val="23"/>
          <w:szCs w:val="23"/>
        </w:rPr>
        <w:t>)</w:t>
      </w:r>
      <w:r w:rsidR="00C1038A">
        <w:rPr>
          <w:rFonts w:asciiTheme="majorHAnsi" w:hAnsiTheme="majorHAnsi"/>
          <w:b/>
          <w:sz w:val="23"/>
          <w:szCs w:val="23"/>
        </w:rPr>
        <w:t xml:space="preserve">, </w:t>
      </w:r>
      <w:r w:rsidR="00C1038A"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 w:rsidR="00C1038A">
        <w:rPr>
          <w:rFonts w:asciiTheme="majorHAnsi" w:hAnsiTheme="majorHAnsi"/>
          <w:sz w:val="23"/>
          <w:szCs w:val="23"/>
        </w:rPr>
        <w:t>tel</w:t>
      </w:r>
      <w:proofErr w:type="spellEnd"/>
      <w:r w:rsidR="00C1038A">
        <w:rPr>
          <w:rFonts w:asciiTheme="majorHAnsi" w:hAnsiTheme="majorHAnsi"/>
          <w:sz w:val="23"/>
          <w:szCs w:val="23"/>
        </w:rPr>
        <w:t>., e-mail).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1D5110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370D5A" w:rsidRPr="00416465" w:rsidRDefault="00370D5A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416465">
        <w:rPr>
          <w:rFonts w:asciiTheme="majorHAnsi" w:hAnsiTheme="majorHAnsi" w:cs="Cambria"/>
          <w:sz w:val="23"/>
          <w:szCs w:val="23"/>
          <w:lang w:val="hr-HR"/>
        </w:rPr>
        <w:t>Usvajanje Zapisnika s</w:t>
      </w:r>
      <w:r w:rsidR="00C1038A" w:rsidRPr="00416465">
        <w:rPr>
          <w:rFonts w:asciiTheme="majorHAnsi" w:hAnsiTheme="majorHAnsi" w:cs="Cambria"/>
          <w:sz w:val="23"/>
          <w:szCs w:val="23"/>
          <w:lang w:val="hr-HR"/>
        </w:rPr>
        <w:t>a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 w:rsidR="002D7FA6">
        <w:rPr>
          <w:rFonts w:asciiTheme="majorHAnsi" w:hAnsiTheme="majorHAnsi" w:cs="Cambria"/>
          <w:sz w:val="23"/>
          <w:szCs w:val="23"/>
          <w:lang w:val="hr-HR"/>
        </w:rPr>
        <w:t>9</w:t>
      </w:r>
      <w:r w:rsidRPr="00416465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2D7FA6" w:rsidRPr="00C51EE4" w:rsidRDefault="003C3A87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2D7FA6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r w:rsidR="002D7FA6" w:rsidRPr="00C51EE4">
        <w:rPr>
          <w:rFonts w:asciiTheme="majorHAnsi" w:hAnsiTheme="majorHAnsi"/>
          <w:sz w:val="23"/>
          <w:szCs w:val="23"/>
          <w:lang w:val="hr-HR"/>
        </w:rPr>
        <w:t>Odluke o izmjeni Odluke o zaduživanju Ličko-senjske županije za sufinanciranje Projekta Razvojni centar Ličko-senjske županije</w:t>
      </w:r>
    </w:p>
    <w:p w:rsidR="002D7FA6" w:rsidRPr="00CA05EC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Opće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bolnice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Gospić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CA05EC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Gospić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CA05EC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CA05EC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Otočac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Senj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Novalja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Korenica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Zavoda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javno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zdravstvo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županije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Izvješć</w:t>
      </w:r>
      <w:r w:rsidR="002C320C">
        <w:rPr>
          <w:rFonts w:asciiTheme="majorHAnsi" w:hAnsiTheme="majorHAnsi" w:cs="Book Antiqua"/>
          <w:sz w:val="23"/>
          <w:szCs w:val="23"/>
        </w:rPr>
        <w:t>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Zavoda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hitnu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medicinu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2019. </w:t>
      </w:r>
      <w:proofErr w:type="spellStart"/>
      <w:r w:rsidRPr="008C524A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8C524A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C320C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</w:t>
      </w:r>
      <w:r w:rsidR="00174773">
        <w:rPr>
          <w:rFonts w:asciiTheme="majorHAnsi" w:hAnsiTheme="majorHAnsi" w:cs="Book Antiqua"/>
          <w:sz w:val="23"/>
          <w:szCs w:val="23"/>
        </w:rPr>
        <w:t>e</w:t>
      </w:r>
      <w:proofErr w:type="spellEnd"/>
      <w:r w:rsidR="002D7FA6" w:rsidRPr="008C524A">
        <w:rPr>
          <w:rFonts w:asciiTheme="majorHAnsi" w:hAnsiTheme="majorHAnsi" w:cs="Book Antiqua"/>
          <w:sz w:val="23"/>
          <w:szCs w:val="23"/>
          <w:lang w:val="hr-HR"/>
        </w:rPr>
        <w:t xml:space="preserve"> Izvješć</w:t>
      </w:r>
      <w:r>
        <w:rPr>
          <w:rFonts w:asciiTheme="majorHAnsi" w:hAnsiTheme="majorHAnsi" w:cs="Book Antiqua"/>
          <w:sz w:val="23"/>
          <w:szCs w:val="23"/>
          <w:lang w:val="hr-HR"/>
        </w:rPr>
        <w:t>a</w:t>
      </w:r>
      <w:r w:rsidR="002D7FA6" w:rsidRPr="008C524A">
        <w:rPr>
          <w:rFonts w:asciiTheme="majorHAnsi" w:hAnsiTheme="majorHAnsi" w:cs="Book Antiqua"/>
          <w:sz w:val="23"/>
          <w:szCs w:val="23"/>
          <w:lang w:val="hr-HR"/>
        </w:rPr>
        <w:t xml:space="preserve"> o radu i </w:t>
      </w:r>
      <w:proofErr w:type="spellStart"/>
      <w:r w:rsidR="002D7FA6" w:rsidRPr="008C524A">
        <w:rPr>
          <w:rFonts w:asciiTheme="majorHAnsi" w:hAnsiTheme="majorHAnsi"/>
          <w:sz w:val="23"/>
          <w:szCs w:val="23"/>
        </w:rPr>
        <w:t>financijskom</w:t>
      </w:r>
      <w:proofErr w:type="spellEnd"/>
      <w:r w:rsidR="002D7FA6" w:rsidRPr="008C524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D7FA6" w:rsidRPr="008C524A">
        <w:rPr>
          <w:rFonts w:asciiTheme="majorHAnsi" w:hAnsiTheme="majorHAnsi"/>
          <w:sz w:val="23"/>
          <w:szCs w:val="23"/>
        </w:rPr>
        <w:t>poslovanju</w:t>
      </w:r>
      <w:proofErr w:type="spellEnd"/>
      <w:r w:rsidR="002D7FA6" w:rsidRPr="008C524A">
        <w:rPr>
          <w:rFonts w:asciiTheme="majorHAnsi" w:hAnsiTheme="majorHAnsi"/>
          <w:sz w:val="23"/>
          <w:szCs w:val="23"/>
        </w:rPr>
        <w:t xml:space="preserve"> </w:t>
      </w:r>
      <w:r w:rsidR="002D7FA6" w:rsidRPr="008C524A">
        <w:rPr>
          <w:rFonts w:asciiTheme="majorHAnsi" w:hAnsiTheme="majorHAnsi" w:cs="Book Antiqua"/>
          <w:sz w:val="23"/>
          <w:szCs w:val="23"/>
          <w:lang w:val="hr-HR"/>
        </w:rPr>
        <w:t xml:space="preserve">Doma za starije i nemoćne osobe Ličko-senjske županije za </w:t>
      </w:r>
      <w:proofErr w:type="gramStart"/>
      <w:r w:rsidR="002D7FA6" w:rsidRPr="008C524A">
        <w:rPr>
          <w:rFonts w:asciiTheme="majorHAnsi" w:hAnsiTheme="majorHAnsi" w:cs="Book Antiqua"/>
          <w:sz w:val="23"/>
          <w:szCs w:val="23"/>
          <w:lang w:val="hr-HR"/>
        </w:rPr>
        <w:t>2019 .</w:t>
      </w:r>
      <w:proofErr w:type="gramEnd"/>
      <w:r w:rsidR="002D7FA6" w:rsidRPr="008C524A">
        <w:rPr>
          <w:rFonts w:asciiTheme="majorHAnsi" w:hAnsiTheme="majorHAnsi" w:cs="Book Antiqua"/>
          <w:sz w:val="23"/>
          <w:szCs w:val="23"/>
          <w:lang w:val="hr-HR"/>
        </w:rPr>
        <w:t xml:space="preserve"> godinu</w:t>
      </w:r>
      <w:r>
        <w:rPr>
          <w:rFonts w:asciiTheme="majorHAnsi" w:hAnsiTheme="majorHAnsi" w:cs="Book Antiqua"/>
          <w:sz w:val="23"/>
          <w:szCs w:val="23"/>
          <w:lang w:val="hr-HR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i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r w:rsidRPr="008C524A">
        <w:rPr>
          <w:rFonts w:asciiTheme="majorHAnsi" w:hAnsiTheme="majorHAnsi" w:cs="Book Antiqua"/>
          <w:sz w:val="23"/>
          <w:szCs w:val="23"/>
          <w:lang w:val="hr-HR"/>
        </w:rPr>
        <w:t>Izvješć</w:t>
      </w:r>
      <w:r w:rsidR="002C320C">
        <w:rPr>
          <w:rFonts w:asciiTheme="majorHAnsi" w:hAnsiTheme="majorHAnsi" w:cs="Book Antiqua"/>
          <w:sz w:val="23"/>
          <w:szCs w:val="23"/>
          <w:lang w:val="hr-HR"/>
        </w:rPr>
        <w:t>a</w:t>
      </w:r>
      <w:r w:rsidRPr="008C524A">
        <w:rPr>
          <w:rFonts w:asciiTheme="majorHAnsi" w:hAnsiTheme="majorHAnsi" w:cs="Book Antiqua"/>
          <w:sz w:val="23"/>
          <w:szCs w:val="23"/>
          <w:lang w:val="hr-HR"/>
        </w:rPr>
        <w:t xml:space="preserve"> Zajednice sportova Ličko-senjske županije o izvršenju </w:t>
      </w:r>
      <w:proofErr w:type="gramStart"/>
      <w:r w:rsidRPr="008C524A">
        <w:rPr>
          <w:rFonts w:asciiTheme="majorHAnsi" w:hAnsiTheme="majorHAnsi" w:cs="Book Antiqua"/>
          <w:sz w:val="23"/>
          <w:szCs w:val="23"/>
          <w:lang w:val="hr-HR"/>
        </w:rPr>
        <w:t>Programa</w:t>
      </w:r>
      <w:proofErr w:type="gramEnd"/>
      <w:r w:rsidRPr="008C524A">
        <w:rPr>
          <w:rFonts w:asciiTheme="majorHAnsi" w:hAnsiTheme="majorHAnsi" w:cs="Book Antiqua"/>
          <w:sz w:val="23"/>
          <w:szCs w:val="23"/>
          <w:lang w:val="hr-HR"/>
        </w:rPr>
        <w:t xml:space="preserve"> javnih potreba u sportu za 2019. godinu</w:t>
      </w:r>
      <w:r w:rsidR="002C320C">
        <w:rPr>
          <w:rFonts w:asciiTheme="majorHAnsi" w:hAnsiTheme="majorHAnsi" w:cs="Book Antiqua"/>
          <w:sz w:val="23"/>
          <w:szCs w:val="23"/>
          <w:lang w:val="hr-HR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2C320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2C320C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2D7FA6" w:rsidRPr="008C524A" w:rsidRDefault="002D7FA6" w:rsidP="0092140B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2D7FA6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2D7FA6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2D7FA6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8C524A">
        <w:rPr>
          <w:rFonts w:asciiTheme="majorHAnsi" w:hAnsiTheme="majorHAnsi" w:cs="Book Antiqua"/>
          <w:sz w:val="23"/>
          <w:szCs w:val="23"/>
          <w:lang w:val="hr-HR"/>
        </w:rPr>
        <w:t xml:space="preserve"> Zaključka o neprihvaćanju ponude za prodaju nekretnine po pravu prvokupa na području NP «Plitvička Jezera», vlasnika Maria Biondića iz Otočca</w:t>
      </w:r>
    </w:p>
    <w:p w:rsidR="001D5110" w:rsidRPr="007620C4" w:rsidRDefault="001D5110" w:rsidP="0092140B">
      <w:pPr>
        <w:numPr>
          <w:ilvl w:val="0"/>
          <w:numId w:val="2"/>
        </w:numPr>
        <w:tabs>
          <w:tab w:val="left" w:pos="-142"/>
          <w:tab w:val="left" w:pos="0"/>
        </w:tabs>
        <w:spacing w:after="0" w:line="28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7620C4">
        <w:rPr>
          <w:rFonts w:asciiTheme="majorHAnsi" w:hAnsiTheme="majorHAnsi"/>
          <w:iCs/>
          <w:sz w:val="23"/>
          <w:szCs w:val="23"/>
        </w:rPr>
        <w:t>Razno</w:t>
      </w:r>
    </w:p>
    <w:p w:rsidR="001D5110" w:rsidRDefault="001D5110" w:rsidP="0092140B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777D77" w:rsidRDefault="00777D77" w:rsidP="0092140B">
      <w:pPr>
        <w:tabs>
          <w:tab w:val="left" w:pos="284"/>
        </w:tabs>
        <w:spacing w:after="0" w:line="28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ab/>
        <w:t xml:space="preserve">   Napomena: </w:t>
      </w:r>
    </w:p>
    <w:p w:rsidR="00777D77" w:rsidRDefault="00777D77" w:rsidP="0092140B">
      <w:pPr>
        <w:pStyle w:val="Uvuenotijeloteksta"/>
        <w:tabs>
          <w:tab w:val="left" w:pos="360"/>
        </w:tabs>
        <w:spacing w:after="0" w:line="28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X</w:t>
      </w:r>
      <w:r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C216EE" w:rsidRPr="00117183" w:rsidRDefault="00C216EE" w:rsidP="0092140B">
      <w:pPr>
        <w:spacing w:after="0" w:line="280" w:lineRule="exact"/>
        <w:ind w:firstLine="426"/>
        <w:jc w:val="both"/>
        <w:rPr>
          <w:rFonts w:asciiTheme="majorHAnsi" w:hAnsiTheme="majorHAnsi" w:cs="Cambria"/>
          <w:b/>
          <w:bCs/>
          <w:color w:val="FF0000"/>
          <w:sz w:val="23"/>
          <w:szCs w:val="23"/>
        </w:rPr>
      </w:pPr>
      <w:r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>
        <w:rPr>
          <w:rFonts w:asciiTheme="majorHAnsi" w:hAnsiTheme="majorHAnsi" w:cs="Cambria"/>
          <w:sz w:val="23"/>
          <w:szCs w:val="23"/>
        </w:rPr>
        <w:t>o predmetnim točkama dnevnog reda izjasnite elektroničkim putem (</w:t>
      </w:r>
      <w:r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8" w:history="1">
        <w:r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>
        <w:rPr>
          <w:rFonts w:asciiTheme="majorHAnsi" w:hAnsiTheme="majorHAnsi" w:cs="Cambria"/>
          <w:sz w:val="23"/>
          <w:szCs w:val="23"/>
        </w:rPr>
        <w:t xml:space="preserve">) ili telefonom (588-208) u vremenu od </w:t>
      </w:r>
      <w:r w:rsidR="00117183" w:rsidRPr="00117183">
        <w:rPr>
          <w:rFonts w:asciiTheme="majorHAnsi" w:hAnsiTheme="majorHAnsi" w:cs="Cambria"/>
          <w:b/>
          <w:sz w:val="23"/>
          <w:szCs w:val="23"/>
        </w:rPr>
        <w:t>11.00 do 12.00</w:t>
      </w:r>
      <w:r w:rsidRPr="00117183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777D77" w:rsidRDefault="00C216EE" w:rsidP="0092140B">
      <w:pPr>
        <w:tabs>
          <w:tab w:val="left" w:pos="426"/>
        </w:tabs>
        <w:spacing w:after="0" w:line="120" w:lineRule="auto"/>
        <w:jc w:val="both"/>
        <w:rPr>
          <w:rFonts w:asciiTheme="majorHAnsi" w:hAnsiTheme="majorHAnsi"/>
          <w:b/>
          <w:color w:val="FF0000"/>
          <w:sz w:val="23"/>
          <w:szCs w:val="23"/>
        </w:rPr>
      </w:pPr>
      <w:r w:rsidRPr="003C3A87">
        <w:rPr>
          <w:rFonts w:asciiTheme="majorHAnsi" w:hAnsiTheme="majorHAnsi"/>
          <w:b/>
          <w:color w:val="FF0000"/>
          <w:sz w:val="23"/>
          <w:szCs w:val="23"/>
        </w:rPr>
        <w:tab/>
      </w:r>
    </w:p>
    <w:p w:rsidR="00C216EE" w:rsidRPr="005C64BF" w:rsidRDefault="00777D77" w:rsidP="00301C39">
      <w:pPr>
        <w:tabs>
          <w:tab w:val="left" w:pos="426"/>
        </w:tabs>
        <w:spacing w:line="2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C216EE" w:rsidRPr="005C64BF">
        <w:rPr>
          <w:rFonts w:asciiTheme="majorHAnsi" w:hAnsiTheme="majorHAnsi"/>
          <w:sz w:val="23"/>
          <w:szCs w:val="23"/>
        </w:rPr>
        <w:t>S poštovanjem,</w:t>
      </w:r>
    </w:p>
    <w:p w:rsidR="001D5110" w:rsidRDefault="001D5110" w:rsidP="003C3A87">
      <w:pPr>
        <w:spacing w:after="0" w:line="120" w:lineRule="auto"/>
        <w:jc w:val="both"/>
        <w:rPr>
          <w:rFonts w:asciiTheme="majorHAnsi" w:hAnsiTheme="majorHAnsi" w:cs="Cambria"/>
        </w:rPr>
      </w:pPr>
      <w:bookmarkStart w:id="0" w:name="_GoBack"/>
      <w:bookmarkEnd w:id="0"/>
      <w:r>
        <w:rPr>
          <w:rFonts w:asciiTheme="majorHAnsi" w:hAnsiTheme="majorHAnsi"/>
          <w:sz w:val="23"/>
          <w:szCs w:val="23"/>
        </w:rPr>
        <w:tab/>
      </w:r>
    </w:p>
    <w:p w:rsidR="001D5110" w:rsidRPr="00777D77" w:rsidRDefault="002D7FA6" w:rsidP="001D5110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777D77">
        <w:rPr>
          <w:rFonts w:asciiTheme="majorHAnsi" w:hAnsiTheme="majorHAnsi"/>
          <w:b/>
          <w:sz w:val="24"/>
          <w:szCs w:val="24"/>
        </w:rPr>
        <w:t xml:space="preserve">         </w:t>
      </w:r>
      <w:r w:rsidR="001D5110" w:rsidRPr="00777D77">
        <w:rPr>
          <w:rFonts w:asciiTheme="majorHAnsi" w:hAnsiTheme="majorHAnsi"/>
          <w:b/>
          <w:sz w:val="24"/>
          <w:szCs w:val="24"/>
        </w:rPr>
        <w:t>P R E D S J E D N I K</w:t>
      </w:r>
    </w:p>
    <w:p w:rsidR="00895CEA" w:rsidRPr="00777D77" w:rsidRDefault="001D5110" w:rsidP="002D7FA6">
      <w:pPr>
        <w:spacing w:after="0" w:line="300" w:lineRule="exact"/>
        <w:ind w:left="5103" w:firstLine="6"/>
        <w:jc w:val="right"/>
        <w:rPr>
          <w:rFonts w:ascii="Book Antiqua" w:eastAsia="Times New Roman" w:hAnsi="Book Antiqua" w:cs="Book Antiqua"/>
          <w:sz w:val="23"/>
          <w:szCs w:val="23"/>
        </w:rPr>
      </w:pPr>
      <w:r w:rsidRPr="00777D77">
        <w:rPr>
          <w:rFonts w:asciiTheme="majorHAnsi" w:hAnsiTheme="majorHAnsi"/>
          <w:sz w:val="23"/>
          <w:szCs w:val="23"/>
        </w:rPr>
        <w:t xml:space="preserve"> Željko Biondić, dipl.ing.građ.</w:t>
      </w:r>
    </w:p>
    <w:sectPr w:rsidR="00895CEA" w:rsidRPr="00777D77" w:rsidSect="0092140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110"/>
    <w:rsid w:val="000125C5"/>
    <w:rsid w:val="0001470D"/>
    <w:rsid w:val="00043E70"/>
    <w:rsid w:val="0007696A"/>
    <w:rsid w:val="000C6F02"/>
    <w:rsid w:val="000E28D2"/>
    <w:rsid w:val="00117183"/>
    <w:rsid w:val="001646F6"/>
    <w:rsid w:val="001676DA"/>
    <w:rsid w:val="00174773"/>
    <w:rsid w:val="001D5110"/>
    <w:rsid w:val="002A77F1"/>
    <w:rsid w:val="002B6DBC"/>
    <w:rsid w:val="002C320C"/>
    <w:rsid w:val="002D7FA6"/>
    <w:rsid w:val="002F6D91"/>
    <w:rsid w:val="00301C39"/>
    <w:rsid w:val="0030604A"/>
    <w:rsid w:val="003701F5"/>
    <w:rsid w:val="00370D5A"/>
    <w:rsid w:val="00383986"/>
    <w:rsid w:val="003B5C88"/>
    <w:rsid w:val="003C3A87"/>
    <w:rsid w:val="00416465"/>
    <w:rsid w:val="00471A4E"/>
    <w:rsid w:val="004B093C"/>
    <w:rsid w:val="004B3D1A"/>
    <w:rsid w:val="00521E27"/>
    <w:rsid w:val="0058069A"/>
    <w:rsid w:val="00590396"/>
    <w:rsid w:val="00597765"/>
    <w:rsid w:val="005B0AC0"/>
    <w:rsid w:val="005F0F66"/>
    <w:rsid w:val="00664DB2"/>
    <w:rsid w:val="006C5AC0"/>
    <w:rsid w:val="006D79D6"/>
    <w:rsid w:val="007175F5"/>
    <w:rsid w:val="007620C4"/>
    <w:rsid w:val="00777D77"/>
    <w:rsid w:val="008336FD"/>
    <w:rsid w:val="00872835"/>
    <w:rsid w:val="00895CEA"/>
    <w:rsid w:val="008C47D5"/>
    <w:rsid w:val="008D08C8"/>
    <w:rsid w:val="008F4547"/>
    <w:rsid w:val="008F5FC2"/>
    <w:rsid w:val="00901101"/>
    <w:rsid w:val="0092140B"/>
    <w:rsid w:val="00963AF7"/>
    <w:rsid w:val="00975FE9"/>
    <w:rsid w:val="009B7327"/>
    <w:rsid w:val="00A777C7"/>
    <w:rsid w:val="00AA2FA0"/>
    <w:rsid w:val="00B314A3"/>
    <w:rsid w:val="00B53C0E"/>
    <w:rsid w:val="00B7441F"/>
    <w:rsid w:val="00BB7246"/>
    <w:rsid w:val="00C1038A"/>
    <w:rsid w:val="00C216EE"/>
    <w:rsid w:val="00C25DDC"/>
    <w:rsid w:val="00C34938"/>
    <w:rsid w:val="00C6561B"/>
    <w:rsid w:val="00C77717"/>
    <w:rsid w:val="00CD2409"/>
    <w:rsid w:val="00D07D39"/>
    <w:rsid w:val="00D257EE"/>
    <w:rsid w:val="00D6019F"/>
    <w:rsid w:val="00DB6E45"/>
    <w:rsid w:val="00E33133"/>
    <w:rsid w:val="00E66B71"/>
    <w:rsid w:val="00EE4B77"/>
    <w:rsid w:val="00EF11B6"/>
    <w:rsid w:val="00F17639"/>
    <w:rsid w:val="00F34537"/>
    <w:rsid w:val="00F52098"/>
    <w:rsid w:val="00F966AE"/>
    <w:rsid w:val="00F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F11B6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rsid w:val="00EF11B6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1B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48</cp:revision>
  <cp:lastPrinted>2020-05-19T08:33:00Z</cp:lastPrinted>
  <dcterms:created xsi:type="dcterms:W3CDTF">2019-12-19T12:24:00Z</dcterms:created>
  <dcterms:modified xsi:type="dcterms:W3CDTF">2020-05-19T08:34:00Z</dcterms:modified>
</cp:coreProperties>
</file>