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F38D4" w:rsidRPr="00042C81" w:rsidTr="00674E6B">
        <w:trPr>
          <w:trHeight w:val="781"/>
        </w:trPr>
        <w:tc>
          <w:tcPr>
            <w:tcW w:w="9180" w:type="dxa"/>
            <w:shd w:val="clear" w:color="auto" w:fill="99CCFF"/>
            <w:vAlign w:val="center"/>
          </w:tcPr>
          <w:p w:rsidR="007F38D4" w:rsidRDefault="007F38D4" w:rsidP="00674E6B">
            <w:pPr>
              <w:pStyle w:val="Bezproreda"/>
              <w:jc w:val="center"/>
              <w:rPr>
                <w:rFonts w:ascii="Cambria" w:eastAsia="Simsun (Founder Extended)" w:hAnsi="Cambria"/>
                <w:b/>
                <w:sz w:val="22"/>
                <w:szCs w:val="22"/>
                <w:lang w:val="hr-HR" w:eastAsia="zh-CN"/>
              </w:rPr>
            </w:pPr>
            <w:r w:rsidRPr="008F79E6">
              <w:rPr>
                <w:rFonts w:ascii="Cambria" w:eastAsia="Simsun (Founder Extended)" w:hAnsi="Cambria"/>
                <w:b/>
                <w:sz w:val="22"/>
                <w:szCs w:val="22"/>
                <w:lang w:val="hr-HR" w:eastAsia="zh-CN"/>
              </w:rPr>
              <w:t>OBRAZAC IZVJEŠĆA O PROVEDENOM SAVJETOVANJU</w:t>
            </w:r>
          </w:p>
          <w:p w:rsidR="007F38D4" w:rsidRPr="008F79E6" w:rsidRDefault="007F38D4" w:rsidP="00674E6B">
            <w:pPr>
              <w:pStyle w:val="Bezproreda"/>
              <w:jc w:val="center"/>
              <w:rPr>
                <w:rFonts w:ascii="Cambria" w:eastAsia="Simsun (Founder Extended)" w:hAnsi="Cambria"/>
                <w:b/>
                <w:sz w:val="22"/>
                <w:szCs w:val="22"/>
                <w:lang w:val="hr-HR" w:eastAsia="zh-CN"/>
              </w:rPr>
            </w:pPr>
            <w:r w:rsidRPr="008F79E6">
              <w:rPr>
                <w:rFonts w:ascii="Cambria" w:eastAsia="Simsun (Founder Extended)" w:hAnsi="Cambria"/>
                <w:b/>
                <w:sz w:val="22"/>
                <w:szCs w:val="22"/>
                <w:lang w:val="hr-HR" w:eastAsia="zh-CN"/>
              </w:rPr>
              <w:t>SA ZAINTERESIRANOM JAVNOŠĆU</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7F38D4" w:rsidRPr="00042C81" w:rsidTr="007F38D4">
        <w:trPr>
          <w:trHeight w:val="1034"/>
        </w:trPr>
        <w:tc>
          <w:tcPr>
            <w:tcW w:w="3369" w:type="dxa"/>
            <w:vAlign w:val="center"/>
          </w:tcPr>
          <w:p w:rsidR="007F38D4" w:rsidRPr="00042C81" w:rsidRDefault="007F38D4" w:rsidP="007F38D4">
            <w:pPr>
              <w:spacing w:after="0" w:line="240" w:lineRule="auto"/>
              <w:rPr>
                <w:rFonts w:ascii="Cambria" w:hAnsi="Cambria"/>
              </w:rPr>
            </w:pPr>
            <w:r>
              <w:rPr>
                <w:rFonts w:ascii="Cambria" w:hAnsi="Cambria"/>
              </w:rPr>
              <w:t xml:space="preserve">Naziv akta za koji je provedeno savjetovanje s javnošću </w:t>
            </w:r>
          </w:p>
        </w:tc>
        <w:tc>
          <w:tcPr>
            <w:tcW w:w="5811" w:type="dxa"/>
            <w:vAlign w:val="center"/>
          </w:tcPr>
          <w:p w:rsidR="007F38D4" w:rsidRPr="00633700" w:rsidRDefault="007F38D4" w:rsidP="00590FEE">
            <w:pPr>
              <w:spacing w:after="0" w:line="240" w:lineRule="auto"/>
              <w:jc w:val="center"/>
              <w:rPr>
                <w:rFonts w:ascii="Times New Roman" w:hAnsi="Times New Roman"/>
                <w:b/>
              </w:rPr>
            </w:pPr>
            <w:r w:rsidRPr="00F03259">
              <w:rPr>
                <w:rFonts w:ascii="Book Antiqua" w:hAnsi="Book Antiqua"/>
                <w:color w:val="000000"/>
              </w:rPr>
              <w:t>Plan zaštite od požara Ličko-senjske županije</w:t>
            </w:r>
          </w:p>
        </w:tc>
      </w:tr>
      <w:tr w:rsidR="007F38D4" w:rsidRPr="00042C81" w:rsidTr="00217A58">
        <w:tc>
          <w:tcPr>
            <w:tcW w:w="3369" w:type="dxa"/>
          </w:tcPr>
          <w:p w:rsidR="007F38D4" w:rsidRPr="00042C81" w:rsidRDefault="007F38D4" w:rsidP="00217A58">
            <w:pPr>
              <w:spacing w:after="0" w:line="240" w:lineRule="auto"/>
              <w:rPr>
                <w:rFonts w:ascii="Cambria" w:hAnsi="Cambria"/>
              </w:rPr>
            </w:pPr>
            <w:r>
              <w:rPr>
                <w:rFonts w:ascii="Cambria" w:hAnsi="Cambria"/>
              </w:rPr>
              <w:t>Naziv tijela nadležnog za izradu nacrta / provedbu savjetovanja</w:t>
            </w:r>
          </w:p>
        </w:tc>
        <w:tc>
          <w:tcPr>
            <w:tcW w:w="5811" w:type="dxa"/>
          </w:tcPr>
          <w:p w:rsidR="00010B6E" w:rsidRDefault="00010B6E" w:rsidP="007F38D4">
            <w:pPr>
              <w:spacing w:after="0" w:line="240" w:lineRule="auto"/>
              <w:rPr>
                <w:rFonts w:ascii="Times New Roman" w:eastAsia="Simsun (Founder Extended)" w:hAnsi="Times New Roman"/>
              </w:rPr>
            </w:pPr>
            <w:bookmarkStart w:id="0" w:name="_GoBack"/>
            <w:bookmarkEnd w:id="0"/>
          </w:p>
          <w:p w:rsidR="007F38D4" w:rsidRDefault="007F38D4" w:rsidP="007F38D4">
            <w:pPr>
              <w:spacing w:after="0" w:line="240" w:lineRule="auto"/>
              <w:rPr>
                <w:rFonts w:ascii="Times New Roman" w:eastAsia="Simsun (Founder Extended)" w:hAnsi="Times New Roman"/>
              </w:rPr>
            </w:pPr>
            <w:r w:rsidRPr="00597C5F">
              <w:rPr>
                <w:rFonts w:ascii="Times New Roman" w:eastAsia="Simsun (Founder Extended)" w:hAnsi="Times New Roman"/>
              </w:rPr>
              <w:t xml:space="preserve">Upravni odjel za </w:t>
            </w:r>
            <w:r>
              <w:rPr>
                <w:rFonts w:ascii="Times New Roman" w:eastAsia="Simsun (Founder Extended)" w:hAnsi="Times New Roman"/>
              </w:rPr>
              <w:t xml:space="preserve">pravne i opće poslove te ljudske potencijale </w:t>
            </w:r>
          </w:p>
          <w:p w:rsidR="00010B6E" w:rsidRPr="00597C5F" w:rsidRDefault="00010B6E" w:rsidP="007F38D4">
            <w:pPr>
              <w:spacing w:after="0" w:line="240" w:lineRule="auto"/>
              <w:rPr>
                <w:rFonts w:ascii="Times New Roman" w:hAnsi="Times New Roman"/>
              </w:rPr>
            </w:pPr>
          </w:p>
        </w:tc>
      </w:tr>
      <w:tr w:rsidR="007F38D4" w:rsidRPr="00BD255E" w:rsidTr="00217A58">
        <w:tc>
          <w:tcPr>
            <w:tcW w:w="3369" w:type="dxa"/>
          </w:tcPr>
          <w:p w:rsidR="007F38D4" w:rsidRPr="00BD255E" w:rsidRDefault="007F38D4" w:rsidP="00217A58">
            <w:pPr>
              <w:spacing w:after="0" w:line="240" w:lineRule="auto"/>
              <w:rPr>
                <w:rFonts w:ascii="Cambria" w:hAnsi="Cambria"/>
              </w:rPr>
            </w:pPr>
            <w:r>
              <w:rPr>
                <w:rFonts w:ascii="Cambria" w:hAnsi="Cambria"/>
              </w:rPr>
              <w:t xml:space="preserve">Razlozi za donošenje akta i ciljevi koji se njime žele postići  </w:t>
            </w:r>
          </w:p>
        </w:tc>
        <w:tc>
          <w:tcPr>
            <w:tcW w:w="5811" w:type="dxa"/>
          </w:tcPr>
          <w:p w:rsidR="007F38D4" w:rsidRDefault="007F38D4" w:rsidP="007F38D4">
            <w:pPr>
              <w:spacing w:after="0" w:line="300" w:lineRule="exact"/>
              <w:jc w:val="both"/>
              <w:rPr>
                <w:rFonts w:ascii="Times New Roman" w:hAnsi="Times New Roman" w:cs="Times New Roman"/>
              </w:rPr>
            </w:pPr>
          </w:p>
          <w:p w:rsidR="007F38D4" w:rsidRPr="007F38D4" w:rsidRDefault="007F38D4" w:rsidP="007F38D4">
            <w:pPr>
              <w:spacing w:after="0" w:line="300" w:lineRule="exact"/>
              <w:jc w:val="both"/>
              <w:rPr>
                <w:rFonts w:ascii="Times New Roman" w:hAnsi="Times New Roman" w:cs="Times New Roman"/>
                <w:color w:val="000000"/>
              </w:rPr>
            </w:pPr>
            <w:r w:rsidRPr="007F38D4">
              <w:rPr>
                <w:rFonts w:ascii="Times New Roman" w:hAnsi="Times New Roman" w:cs="Times New Roman"/>
              </w:rPr>
              <w:t>Člankom 13.  Zakona o zaštiti od požara propisano je da jedinice lokalne i područne (regionalne) samouprave donose plan zaštite od požara za svoje područje na temelju procjene ugroženosti od požara, po prethodnom mišljenju nadležne policijske uprave.</w:t>
            </w:r>
            <w:r w:rsidRPr="007F38D4">
              <w:rPr>
                <w:rFonts w:ascii="Times New Roman" w:hAnsi="Times New Roman" w:cs="Times New Roman"/>
                <w:color w:val="000000"/>
              </w:rPr>
              <w:t xml:space="preserve"> Nadležna vatrogasna zajednica daje prethodno mišljenje na dio procjene ugroženosti od požara za svoje područje koji se odnosi na organizaciju vatrogasne djelatnosti kroz minimalna mjerila dana posebnim propisom kojim se uređuje područje vatrogastva.</w:t>
            </w:r>
          </w:p>
          <w:p w:rsidR="007F38D4" w:rsidRDefault="007F38D4" w:rsidP="00010B6E">
            <w:pPr>
              <w:spacing w:after="0" w:line="300" w:lineRule="exact"/>
              <w:jc w:val="both"/>
              <w:rPr>
                <w:rFonts w:ascii="Times New Roman" w:hAnsi="Times New Roman" w:cs="Times New Roman"/>
                <w:b/>
              </w:rPr>
            </w:pPr>
            <w:r w:rsidRPr="007F38D4">
              <w:rPr>
                <w:rFonts w:ascii="Times New Roman" w:hAnsi="Times New Roman" w:cs="Times New Roman"/>
              </w:rPr>
              <w:t xml:space="preserve">S obzirom da je  navedenim člankom Zakona utvrđeno da se </w:t>
            </w:r>
            <w:r w:rsidRPr="007F38D4">
              <w:rPr>
                <w:rFonts w:ascii="Times New Roman" w:hAnsi="Times New Roman" w:cs="Times New Roman"/>
                <w:color w:val="000000"/>
              </w:rPr>
              <w:t xml:space="preserve">procjena ugroženosti i plan zaštite od požara županije temelje  na procjenama ugroženosti i planovima zaštite od požara gradova i općina na području županije, odnosno da jedinice lokalne i područne (regionalne) samouprave najmanje jednom godišnje usklađuju planove zaštite od požara s novonastalim uvjetima te da jedinice lokalne i područne (regionalne) samouprave najmanje jednom u 5 godina usklađuju procjene ugroženosti s novonastalim uvjetima, a kako je </w:t>
            </w:r>
            <w:r w:rsidRPr="007F38D4">
              <w:rPr>
                <w:rFonts w:ascii="Times New Roman" w:hAnsi="Times New Roman" w:cs="Times New Roman"/>
              </w:rPr>
              <w:t xml:space="preserve"> Županijska skupština Ličko-senjske županije donijela  Plan zaštite od požara s Procjenom ugroženosti za svoje područje („Županijski glasnik” br. 20/16) u suradnji s ovlaštenom pravnom osobom za izradu navedenih dokumenata Vatrogasnom zajednicom Primorsko-goranske županije pristupilo se usklađivanju, odnosno izradi Plana zaštite od požara s Procjenom  ugroženosti od požara i tehnoloških eksplozija za područje Ličko-senjske županije.</w:t>
            </w:r>
          </w:p>
          <w:p w:rsidR="007F38D4" w:rsidRPr="007F38D4" w:rsidRDefault="007F38D4" w:rsidP="007F38D4">
            <w:pPr>
              <w:spacing w:after="0" w:line="300" w:lineRule="exact"/>
              <w:ind w:firstLine="708"/>
              <w:jc w:val="both"/>
              <w:rPr>
                <w:rFonts w:ascii="Times New Roman" w:hAnsi="Times New Roman" w:cs="Times New Roman"/>
                <w:b/>
              </w:rPr>
            </w:pPr>
          </w:p>
        </w:tc>
      </w:tr>
      <w:tr w:rsidR="007F38D4" w:rsidRPr="00042C81" w:rsidTr="00217A58">
        <w:tc>
          <w:tcPr>
            <w:tcW w:w="3369" w:type="dxa"/>
          </w:tcPr>
          <w:p w:rsidR="007F38D4" w:rsidRPr="00042C81" w:rsidRDefault="007F38D4" w:rsidP="00217A58">
            <w:pPr>
              <w:spacing w:after="0" w:line="240" w:lineRule="auto"/>
              <w:rPr>
                <w:rFonts w:ascii="Cambria" w:hAnsi="Cambria"/>
              </w:rPr>
            </w:pPr>
            <w:r>
              <w:rPr>
                <w:rFonts w:ascii="Cambria" w:hAnsi="Cambria"/>
              </w:rPr>
              <w:t>Objava dokumenta za savjetovanje</w:t>
            </w:r>
          </w:p>
        </w:tc>
        <w:tc>
          <w:tcPr>
            <w:tcW w:w="5811" w:type="dxa"/>
          </w:tcPr>
          <w:p w:rsidR="007F38D4" w:rsidRPr="00597C5F" w:rsidRDefault="007F38D4" w:rsidP="00217A58">
            <w:pPr>
              <w:spacing w:after="0" w:line="240" w:lineRule="auto"/>
              <w:rPr>
                <w:rFonts w:ascii="Times New Roman" w:hAnsi="Times New Roman"/>
              </w:rPr>
            </w:pPr>
            <w:hyperlink r:id="rId4" w:history="1">
              <w:r w:rsidRPr="00F21E00">
                <w:rPr>
                  <w:rStyle w:val="Hiperveza"/>
                  <w:rFonts w:ascii="Times New Roman" w:hAnsi="Times New Roman"/>
                </w:rPr>
                <w:t>www.licko-senjska.hr</w:t>
              </w:r>
            </w:hyperlink>
            <w:r>
              <w:rPr>
                <w:rFonts w:ascii="Times New Roman" w:hAnsi="Times New Roman"/>
              </w:rPr>
              <w:t xml:space="preserve"> </w:t>
            </w:r>
          </w:p>
        </w:tc>
      </w:tr>
      <w:tr w:rsidR="007F38D4" w:rsidRPr="00042C81" w:rsidTr="00217A58">
        <w:tc>
          <w:tcPr>
            <w:tcW w:w="3369" w:type="dxa"/>
          </w:tcPr>
          <w:p w:rsidR="007F38D4" w:rsidRPr="00042C81" w:rsidRDefault="007F38D4" w:rsidP="00217A58">
            <w:pPr>
              <w:spacing w:after="0" w:line="240" w:lineRule="auto"/>
              <w:rPr>
                <w:rFonts w:ascii="Cambria" w:hAnsi="Cambria"/>
              </w:rPr>
            </w:pPr>
            <w:r>
              <w:rPr>
                <w:rFonts w:ascii="Cambria" w:hAnsi="Cambria"/>
              </w:rPr>
              <w:t xml:space="preserve">Razdoblje provedbe savjetovanja </w:t>
            </w:r>
          </w:p>
        </w:tc>
        <w:tc>
          <w:tcPr>
            <w:tcW w:w="5811" w:type="dxa"/>
          </w:tcPr>
          <w:p w:rsidR="007F38D4" w:rsidRDefault="007F38D4" w:rsidP="007F38D4">
            <w:pPr>
              <w:spacing w:after="0" w:line="240" w:lineRule="auto"/>
              <w:rPr>
                <w:rFonts w:ascii="Times New Roman" w:hAnsi="Times New Roman"/>
              </w:rPr>
            </w:pPr>
          </w:p>
          <w:p w:rsidR="007F38D4" w:rsidRDefault="007F38D4" w:rsidP="007F38D4">
            <w:pPr>
              <w:spacing w:after="0" w:line="240" w:lineRule="auto"/>
              <w:rPr>
                <w:rFonts w:ascii="Times New Roman" w:hAnsi="Times New Roman"/>
              </w:rPr>
            </w:pPr>
            <w:r>
              <w:rPr>
                <w:rFonts w:ascii="Times New Roman" w:hAnsi="Times New Roman"/>
              </w:rPr>
              <w:t>Internetsko savjetovanje sa zainteresiranom javnošću provedeno je u razdoblju od 29. rujna do 10. listopada 2022.</w:t>
            </w:r>
          </w:p>
          <w:p w:rsidR="007F38D4" w:rsidRPr="00597C5F" w:rsidRDefault="007F38D4" w:rsidP="007F38D4">
            <w:pPr>
              <w:spacing w:after="0" w:line="240" w:lineRule="auto"/>
              <w:rPr>
                <w:rFonts w:ascii="Times New Roman" w:hAnsi="Times New Roman"/>
              </w:rPr>
            </w:pPr>
          </w:p>
        </w:tc>
      </w:tr>
      <w:tr w:rsidR="007F38D4" w:rsidRPr="00042C81" w:rsidTr="00217A58">
        <w:tc>
          <w:tcPr>
            <w:tcW w:w="3369" w:type="dxa"/>
          </w:tcPr>
          <w:p w:rsidR="007F38D4" w:rsidRPr="00042C81" w:rsidRDefault="007F38D4" w:rsidP="00217A58">
            <w:pPr>
              <w:spacing w:after="0" w:line="240" w:lineRule="auto"/>
              <w:rPr>
                <w:rFonts w:ascii="Cambria" w:hAnsi="Cambria"/>
              </w:rPr>
            </w:pPr>
            <w:r>
              <w:rPr>
                <w:rFonts w:ascii="Cambria" w:hAnsi="Cambria"/>
              </w:rPr>
              <w:t>Pregled osnovnih pokazatelja uključenosti savjetovanja s javnošću</w:t>
            </w:r>
          </w:p>
        </w:tc>
        <w:tc>
          <w:tcPr>
            <w:tcW w:w="5811" w:type="dxa"/>
          </w:tcPr>
          <w:p w:rsidR="007F38D4" w:rsidRDefault="007F38D4" w:rsidP="00217A58">
            <w:pPr>
              <w:spacing w:after="0" w:line="240" w:lineRule="auto"/>
              <w:rPr>
                <w:rFonts w:ascii="Times New Roman" w:hAnsi="Times New Roman"/>
              </w:rPr>
            </w:pPr>
          </w:p>
          <w:p w:rsidR="007F38D4" w:rsidRDefault="007F38D4" w:rsidP="00217A58">
            <w:pPr>
              <w:spacing w:after="0" w:line="240" w:lineRule="auto"/>
              <w:rPr>
                <w:rFonts w:ascii="Times New Roman" w:hAnsi="Times New Roman"/>
              </w:rPr>
            </w:pPr>
            <w:r>
              <w:rPr>
                <w:rFonts w:ascii="Times New Roman" w:hAnsi="Times New Roman"/>
              </w:rPr>
              <w:t>Na predloženi Nacrt dokumenta nije bilo zaprimljenih mišljenja, primjedbi i prijedloga.</w:t>
            </w:r>
          </w:p>
          <w:p w:rsidR="007F38D4" w:rsidRPr="00597C5F" w:rsidRDefault="007F38D4" w:rsidP="00217A58">
            <w:pPr>
              <w:spacing w:after="0" w:line="240" w:lineRule="auto"/>
              <w:rPr>
                <w:rFonts w:ascii="Times New Roman" w:hAnsi="Times New Roman"/>
              </w:rPr>
            </w:pPr>
          </w:p>
        </w:tc>
      </w:tr>
      <w:tr w:rsidR="007F38D4" w:rsidRPr="00042C81" w:rsidTr="00217A58">
        <w:tc>
          <w:tcPr>
            <w:tcW w:w="3369" w:type="dxa"/>
          </w:tcPr>
          <w:p w:rsidR="007F38D4" w:rsidRPr="00042C81" w:rsidRDefault="007F38D4" w:rsidP="00217A58">
            <w:pPr>
              <w:spacing w:after="0" w:line="240" w:lineRule="auto"/>
              <w:rPr>
                <w:rFonts w:ascii="Cambria" w:hAnsi="Cambria"/>
              </w:rPr>
            </w:pPr>
            <w:r>
              <w:rPr>
                <w:rFonts w:ascii="Cambria" w:hAnsi="Cambria"/>
              </w:rPr>
              <w:t xml:space="preserve">Pregled prihvaćenih i neprihvaćenih mišljenja i prijedloga s obrazloženjem </w:t>
            </w:r>
            <w:r>
              <w:rPr>
                <w:rFonts w:ascii="Cambria" w:hAnsi="Cambria"/>
              </w:rPr>
              <w:lastRenderedPageBreak/>
              <w:t>razloga za neprihvaćanje</w:t>
            </w:r>
          </w:p>
        </w:tc>
        <w:tc>
          <w:tcPr>
            <w:tcW w:w="5811" w:type="dxa"/>
          </w:tcPr>
          <w:p w:rsidR="007F38D4" w:rsidRPr="00597C5F" w:rsidRDefault="007F38D4" w:rsidP="00217A58">
            <w:pPr>
              <w:spacing w:after="0" w:line="240" w:lineRule="auto"/>
              <w:rPr>
                <w:rFonts w:ascii="Times New Roman" w:hAnsi="Times New Roman"/>
              </w:rPr>
            </w:pPr>
          </w:p>
        </w:tc>
      </w:tr>
      <w:tr w:rsidR="007F38D4" w:rsidRPr="00042C81" w:rsidTr="00217A58">
        <w:tc>
          <w:tcPr>
            <w:tcW w:w="3369" w:type="dxa"/>
          </w:tcPr>
          <w:p w:rsidR="007F38D4" w:rsidRDefault="007F38D4" w:rsidP="00217A58">
            <w:pPr>
              <w:spacing w:after="0" w:line="240" w:lineRule="auto"/>
              <w:rPr>
                <w:rFonts w:ascii="Cambria" w:hAnsi="Cambria"/>
              </w:rPr>
            </w:pPr>
            <w:r>
              <w:rPr>
                <w:rFonts w:ascii="Cambria" w:hAnsi="Cambria"/>
              </w:rPr>
              <w:lastRenderedPageBreak/>
              <w:t>Ostali oblici savjetovanja s javnošću</w:t>
            </w:r>
          </w:p>
        </w:tc>
        <w:tc>
          <w:tcPr>
            <w:tcW w:w="5811" w:type="dxa"/>
          </w:tcPr>
          <w:p w:rsidR="007F38D4" w:rsidRPr="00597C5F" w:rsidRDefault="007F38D4" w:rsidP="00217A58">
            <w:pPr>
              <w:spacing w:after="0" w:line="240" w:lineRule="auto"/>
              <w:rPr>
                <w:rFonts w:ascii="Times New Roman" w:hAnsi="Times New Roman"/>
              </w:rPr>
            </w:pPr>
          </w:p>
        </w:tc>
      </w:tr>
      <w:tr w:rsidR="007F38D4" w:rsidRPr="00042C81" w:rsidTr="00217A58">
        <w:tc>
          <w:tcPr>
            <w:tcW w:w="3369" w:type="dxa"/>
          </w:tcPr>
          <w:p w:rsidR="007F38D4" w:rsidRPr="00042C81" w:rsidRDefault="007F38D4" w:rsidP="00217A58">
            <w:pPr>
              <w:spacing w:after="0" w:line="240" w:lineRule="auto"/>
              <w:rPr>
                <w:rFonts w:ascii="Cambria" w:hAnsi="Cambria"/>
              </w:rPr>
            </w:pPr>
            <w:r w:rsidRPr="00042C81">
              <w:rPr>
                <w:rFonts w:ascii="Cambria" w:hAnsi="Cambria"/>
              </w:rPr>
              <w:t>Troškovi provedenog savjetovanja</w:t>
            </w:r>
          </w:p>
        </w:tc>
        <w:tc>
          <w:tcPr>
            <w:tcW w:w="5811" w:type="dxa"/>
          </w:tcPr>
          <w:p w:rsidR="007F38D4" w:rsidRPr="00597C5F" w:rsidRDefault="007F38D4" w:rsidP="00217A58">
            <w:pPr>
              <w:spacing w:after="0" w:line="240" w:lineRule="auto"/>
              <w:rPr>
                <w:rFonts w:ascii="Times New Roman" w:hAnsi="Times New Roman"/>
              </w:rPr>
            </w:pPr>
            <w:r w:rsidRPr="00597C5F">
              <w:rPr>
                <w:rFonts w:ascii="Times New Roman" w:hAnsi="Times New Roman"/>
              </w:rPr>
              <w:t xml:space="preserve">Provedba </w:t>
            </w:r>
            <w:r>
              <w:rPr>
                <w:rFonts w:ascii="Times New Roman" w:hAnsi="Times New Roman"/>
              </w:rPr>
              <w:t>javnog</w:t>
            </w:r>
            <w:r w:rsidRPr="00597C5F">
              <w:rPr>
                <w:rFonts w:ascii="Times New Roman" w:hAnsi="Times New Roman"/>
              </w:rPr>
              <w:t xml:space="preserve"> savjetovanja nije iziskivala dodatne financijske troškove.</w:t>
            </w:r>
          </w:p>
        </w:tc>
      </w:tr>
      <w:tr w:rsidR="007F38D4" w:rsidRPr="007F683A" w:rsidTr="00217A58">
        <w:tc>
          <w:tcPr>
            <w:tcW w:w="3369" w:type="dxa"/>
          </w:tcPr>
          <w:p w:rsidR="007F38D4" w:rsidRPr="007F683A" w:rsidRDefault="007F38D4" w:rsidP="00217A58">
            <w:pPr>
              <w:spacing w:after="0" w:line="240" w:lineRule="auto"/>
              <w:rPr>
                <w:rFonts w:ascii="Times New Roman" w:hAnsi="Times New Roman"/>
              </w:rPr>
            </w:pPr>
            <w:r>
              <w:rPr>
                <w:rFonts w:ascii="Times New Roman" w:hAnsi="Times New Roman"/>
              </w:rPr>
              <w:t xml:space="preserve">Ime i prezime osobe koja je izradila izvješće </w:t>
            </w:r>
          </w:p>
        </w:tc>
        <w:tc>
          <w:tcPr>
            <w:tcW w:w="5811" w:type="dxa"/>
          </w:tcPr>
          <w:p w:rsidR="007F38D4" w:rsidRPr="00597C5F" w:rsidRDefault="007F38D4" w:rsidP="00217A58">
            <w:pPr>
              <w:spacing w:after="0" w:line="240" w:lineRule="auto"/>
              <w:rPr>
                <w:rFonts w:ascii="Times New Roman" w:hAnsi="Times New Roman"/>
              </w:rPr>
            </w:pPr>
            <w:r>
              <w:rPr>
                <w:rFonts w:ascii="Times New Roman" w:hAnsi="Times New Roman"/>
              </w:rPr>
              <w:t>Karmela Franić, službenica UO za pravne i opće poslove te ljudske potencijale</w:t>
            </w:r>
          </w:p>
        </w:tc>
      </w:tr>
      <w:tr w:rsidR="007F38D4" w:rsidRPr="007F683A" w:rsidTr="00217A58">
        <w:tc>
          <w:tcPr>
            <w:tcW w:w="3369" w:type="dxa"/>
          </w:tcPr>
          <w:p w:rsidR="007F38D4" w:rsidRPr="007F683A" w:rsidRDefault="007F38D4" w:rsidP="00217A58">
            <w:pPr>
              <w:spacing w:after="0" w:line="240" w:lineRule="auto"/>
              <w:rPr>
                <w:rFonts w:ascii="Times New Roman" w:hAnsi="Times New Roman"/>
              </w:rPr>
            </w:pPr>
            <w:r>
              <w:rPr>
                <w:rFonts w:ascii="Times New Roman" w:hAnsi="Times New Roman"/>
              </w:rPr>
              <w:t>Mjesto i datum izrade izvješća</w:t>
            </w:r>
          </w:p>
        </w:tc>
        <w:tc>
          <w:tcPr>
            <w:tcW w:w="5811" w:type="dxa"/>
          </w:tcPr>
          <w:p w:rsidR="007F38D4" w:rsidRPr="00597C5F" w:rsidRDefault="007F38D4" w:rsidP="007F38D4">
            <w:pPr>
              <w:spacing w:after="0" w:line="240" w:lineRule="auto"/>
              <w:rPr>
                <w:rFonts w:ascii="Times New Roman" w:hAnsi="Times New Roman"/>
              </w:rPr>
            </w:pPr>
            <w:r>
              <w:rPr>
                <w:rFonts w:ascii="Times New Roman" w:hAnsi="Times New Roman"/>
              </w:rPr>
              <w:t xml:space="preserve">Gospić, 11. listopada 2022. godine </w:t>
            </w:r>
          </w:p>
        </w:tc>
      </w:tr>
    </w:tbl>
    <w:p w:rsidR="007F38D4" w:rsidRPr="007F683A" w:rsidRDefault="007F38D4" w:rsidP="007F38D4">
      <w:pPr>
        <w:rPr>
          <w:rFonts w:ascii="Times New Roman" w:hAnsi="Times New Roman"/>
        </w:rPr>
      </w:pPr>
    </w:p>
    <w:p w:rsidR="007F38D4" w:rsidRDefault="007F38D4" w:rsidP="007F38D4">
      <w:pPr>
        <w:spacing w:after="0" w:line="240" w:lineRule="auto"/>
        <w:contextualSpacing/>
        <w:rPr>
          <w:rFonts w:ascii="Cambria" w:hAnsi="Cambria"/>
        </w:rPr>
      </w:pPr>
      <w:r>
        <w:rPr>
          <w:rFonts w:ascii="Cambria" w:hAnsi="Cambria"/>
        </w:rPr>
        <w:t>Klasa: 214-02/21-01/08</w:t>
      </w:r>
    </w:p>
    <w:p w:rsidR="007F38D4" w:rsidRDefault="007F38D4" w:rsidP="007F38D4">
      <w:pPr>
        <w:spacing w:after="0" w:line="240" w:lineRule="auto"/>
        <w:contextualSpacing/>
        <w:rPr>
          <w:rFonts w:ascii="Cambria" w:hAnsi="Cambria"/>
        </w:rPr>
      </w:pPr>
      <w:proofErr w:type="spellStart"/>
      <w:r>
        <w:rPr>
          <w:rFonts w:ascii="Cambria" w:hAnsi="Cambria"/>
        </w:rPr>
        <w:t>Urbroj</w:t>
      </w:r>
      <w:proofErr w:type="spellEnd"/>
      <w:r>
        <w:rPr>
          <w:rFonts w:ascii="Cambria" w:hAnsi="Cambria"/>
        </w:rPr>
        <w:t>: 2125-14-22-9</w:t>
      </w:r>
    </w:p>
    <w:p w:rsidR="007F38D4" w:rsidRPr="008F79E6" w:rsidRDefault="007F38D4" w:rsidP="007F38D4">
      <w:pPr>
        <w:spacing w:after="0" w:line="240" w:lineRule="auto"/>
        <w:contextualSpacing/>
        <w:rPr>
          <w:rFonts w:ascii="Cambria" w:hAnsi="Cambria"/>
        </w:rPr>
      </w:pPr>
      <w:r>
        <w:rPr>
          <w:rFonts w:ascii="Cambria" w:hAnsi="Cambria"/>
        </w:rPr>
        <w:t xml:space="preserve">11. listopada 2022. godine </w:t>
      </w:r>
    </w:p>
    <w:p w:rsidR="007F38D4" w:rsidRDefault="007F38D4" w:rsidP="007F38D4"/>
    <w:p w:rsidR="007F38D4" w:rsidRDefault="007F38D4" w:rsidP="007F38D4"/>
    <w:p w:rsidR="00DB3008" w:rsidRDefault="00DB3008"/>
    <w:sectPr w:rsidR="00DB3008" w:rsidSect="009B663C">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Founder Extended)">
    <w:altName w:val="Arial Unicode MS"/>
    <w:charset w:val="86"/>
    <w:family w:val="script"/>
    <w:pitch w:val="fixed"/>
    <w:sig w:usb0="00000000"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7F38D4"/>
    <w:rsid w:val="00010B6E"/>
    <w:rsid w:val="003A6A7B"/>
    <w:rsid w:val="00590FEE"/>
    <w:rsid w:val="00674E6B"/>
    <w:rsid w:val="007F38D4"/>
    <w:rsid w:val="00D5414A"/>
    <w:rsid w:val="00DB30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7F38D4"/>
    <w:rPr>
      <w:color w:val="0000FF"/>
      <w:u w:val="single"/>
    </w:rPr>
  </w:style>
  <w:style w:type="paragraph" w:styleId="Bezproreda">
    <w:name w:val="No Spacing"/>
    <w:uiPriority w:val="1"/>
    <w:qFormat/>
    <w:rsid w:val="007F38D4"/>
    <w:pPr>
      <w:spacing w:after="0" w:line="240" w:lineRule="auto"/>
    </w:pPr>
    <w:rPr>
      <w:rFonts w:ascii="Times New Roman" w:eastAsia="Times New Roman" w:hAnsi="Times New Roman" w:cs="Times New Roman"/>
      <w:sz w:val="24"/>
      <w:szCs w:val="20"/>
      <w:lang w:val="en-US"/>
    </w:rPr>
  </w:style>
  <w:style w:type="paragraph" w:customStyle="1" w:styleId="t-9-8">
    <w:name w:val="t-9-8"/>
    <w:basedOn w:val="Normal"/>
    <w:uiPriority w:val="99"/>
    <w:rsid w:val="007F3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cko-senjsk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2343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16</cp:revision>
  <cp:lastPrinted>2022-10-11T07:26:00Z</cp:lastPrinted>
  <dcterms:created xsi:type="dcterms:W3CDTF">2022-10-11T07:00:00Z</dcterms:created>
  <dcterms:modified xsi:type="dcterms:W3CDTF">2022-10-11T07:54:00Z</dcterms:modified>
</cp:coreProperties>
</file>